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34EA3"/>
          <w:sz w:val="24"/>
          <w:szCs w:val="24"/>
        </w:rPr>
      </w:pPr>
      <w:r w:rsidRPr="00E757E7">
        <w:rPr>
          <w:rFonts w:ascii="Arial" w:hAnsi="Arial" w:cs="Arial"/>
          <w:b/>
          <w:bCs/>
          <w:color w:val="034EA3"/>
          <w:sz w:val="24"/>
          <w:szCs w:val="24"/>
        </w:rPr>
        <w:t xml:space="preserve">Writing your </w:t>
      </w:r>
      <w:r w:rsidR="00E757E7">
        <w:rPr>
          <w:rFonts w:ascii="Arial" w:hAnsi="Arial" w:cs="Arial"/>
          <w:b/>
          <w:bCs/>
          <w:color w:val="034EA3"/>
          <w:sz w:val="24"/>
          <w:szCs w:val="24"/>
        </w:rPr>
        <w:t>Brief</w:t>
      </w:r>
      <w:r w:rsidRPr="00E757E7">
        <w:rPr>
          <w:rFonts w:ascii="Arial" w:hAnsi="Arial" w:cs="Arial"/>
          <w:b/>
          <w:bCs/>
          <w:color w:val="034EA3"/>
          <w:sz w:val="24"/>
          <w:szCs w:val="24"/>
        </w:rPr>
        <w:t>: Contents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34EA3"/>
          <w:sz w:val="24"/>
          <w:szCs w:val="24"/>
        </w:rPr>
      </w:pP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  <w:r w:rsidRPr="00E757E7">
        <w:rPr>
          <w:rFonts w:ascii="Arial" w:hAnsi="Arial" w:cs="Arial"/>
          <w:b/>
          <w:bCs/>
          <w:color w:val="58595B"/>
          <w:sz w:val="24"/>
          <w:szCs w:val="24"/>
        </w:rPr>
        <w:t xml:space="preserve">A. The Required Parts of a </w:t>
      </w:r>
      <w:r w:rsidR="00E757E7">
        <w:rPr>
          <w:rFonts w:ascii="Arial" w:hAnsi="Arial" w:cs="Arial"/>
          <w:b/>
          <w:bCs/>
          <w:color w:val="58595B"/>
          <w:sz w:val="24"/>
          <w:szCs w:val="24"/>
        </w:rPr>
        <w:t>Brief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This section addresses the required preliminary parts of the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="00E757E7">
        <w:rPr>
          <w:rFonts w:ascii="Arial" w:hAnsi="Arial" w:cs="Arial"/>
          <w:color w:val="000000"/>
          <w:sz w:val="24"/>
          <w:szCs w:val="24"/>
        </w:rPr>
        <w:t>brief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which come before the Pleadings: cover page, table of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contents, index of authorities, statement of jurisdiction, questions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presented, statement of facts and the summary of the pleadings.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  <w:r w:rsidRPr="00E757E7">
        <w:rPr>
          <w:rFonts w:ascii="Arial" w:hAnsi="Arial" w:cs="Arial"/>
          <w:b/>
          <w:bCs/>
          <w:color w:val="58595B"/>
          <w:sz w:val="24"/>
          <w:szCs w:val="24"/>
        </w:rPr>
        <w:t>B. Cover Page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A Cover Page should contain all the mandatory elements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specified in Official Jessup Rule 6.3.2. Many teams use ornate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Cover Pages, which incorporate the logo of the ICJ, different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fonts, various borders or other formatting. It is sufficient to have a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plain Cover Page, with plain fonts and no borders, provided it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is well-presented and contains the required elements.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  <w:r w:rsidRPr="00E757E7">
        <w:rPr>
          <w:rFonts w:ascii="Arial" w:hAnsi="Arial" w:cs="Arial"/>
          <w:b/>
          <w:bCs/>
          <w:color w:val="58595B"/>
          <w:sz w:val="24"/>
          <w:szCs w:val="24"/>
        </w:rPr>
        <w:t>C. Table of Contents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4EA3"/>
          <w:sz w:val="24"/>
          <w:szCs w:val="24"/>
        </w:rPr>
      </w:pPr>
      <w:r w:rsidRPr="00E757E7">
        <w:rPr>
          <w:rFonts w:ascii="Arial" w:hAnsi="Arial" w:cs="Arial"/>
          <w:color w:val="034EA3"/>
          <w:sz w:val="24"/>
          <w:szCs w:val="24"/>
        </w:rPr>
        <w:t>1. Purpose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A good Table of Contents will assist a reader in finding key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sections of the </w:t>
      </w:r>
      <w:r w:rsidR="00E757E7">
        <w:rPr>
          <w:rFonts w:ascii="Arial" w:hAnsi="Arial" w:cs="Arial"/>
          <w:color w:val="000000"/>
          <w:sz w:val="24"/>
          <w:szCs w:val="24"/>
        </w:rPr>
        <w:t>brief</w:t>
      </w:r>
      <w:r w:rsidRPr="00E757E7">
        <w:rPr>
          <w:rFonts w:ascii="Arial" w:hAnsi="Arial" w:cs="Arial"/>
          <w:color w:val="000000"/>
          <w:sz w:val="24"/>
          <w:szCs w:val="24"/>
        </w:rPr>
        <w:t>. Apart from this basic function, a good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Table of Contents should also allow a reader to see, at a glance,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that you have organized the </w:t>
      </w:r>
      <w:r w:rsidR="00E757E7">
        <w:rPr>
          <w:rFonts w:ascii="Arial" w:hAnsi="Arial" w:cs="Arial"/>
          <w:color w:val="000000"/>
          <w:sz w:val="24"/>
          <w:szCs w:val="24"/>
        </w:rPr>
        <w:t>brief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appropriately and logically.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The Table of Contents should include a list of headings contained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in the Pleadings (</w:t>
      </w:r>
      <w:r w:rsidRPr="00E757E7">
        <w:rPr>
          <w:rFonts w:ascii="Arial" w:hAnsi="Arial" w:cs="Arial"/>
          <w:i/>
          <w:iCs/>
          <w:color w:val="000000"/>
          <w:sz w:val="24"/>
          <w:szCs w:val="24"/>
        </w:rPr>
        <w:t xml:space="preserve">see </w:t>
      </w:r>
      <w:r w:rsidRPr="00E757E7">
        <w:rPr>
          <w:rFonts w:ascii="Arial" w:hAnsi="Arial" w:cs="Arial"/>
          <w:color w:val="000000"/>
          <w:sz w:val="24"/>
          <w:szCs w:val="24"/>
        </w:rPr>
        <w:t>Appendix A for an example of a list of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headings). Many judges use the Table of Contents as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 basic introduction to the detailed arguments.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4EA3"/>
          <w:sz w:val="24"/>
          <w:szCs w:val="24"/>
        </w:rPr>
      </w:pPr>
      <w:r w:rsidRPr="00E757E7">
        <w:rPr>
          <w:rFonts w:ascii="Arial" w:hAnsi="Arial" w:cs="Arial"/>
          <w:color w:val="034EA3"/>
          <w:sz w:val="24"/>
          <w:szCs w:val="24"/>
        </w:rPr>
        <w:t>2. Creating the Table of Contents Using</w:t>
      </w:r>
      <w:r w:rsidRPr="00E757E7">
        <w:rPr>
          <w:rFonts w:ascii="Arial" w:hAnsi="Arial" w:cs="Arial"/>
          <w:color w:val="034EA3"/>
          <w:sz w:val="24"/>
          <w:szCs w:val="24"/>
        </w:rPr>
        <w:t xml:space="preserve"> </w:t>
      </w:r>
      <w:r w:rsidRPr="00E757E7">
        <w:rPr>
          <w:rFonts w:ascii="Arial" w:hAnsi="Arial" w:cs="Arial"/>
          <w:color w:val="034EA3"/>
          <w:sz w:val="24"/>
          <w:szCs w:val="24"/>
        </w:rPr>
        <w:t>Automated Features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When creating the Table of Contents, it is advisable to use the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automated features in the word processing software. Creating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the Table of Contents manually may result in formatting problems,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cause page number errors and lead to unnecessary work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and stress.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4EA3"/>
          <w:sz w:val="24"/>
          <w:szCs w:val="24"/>
        </w:rPr>
      </w:pPr>
      <w:r w:rsidRPr="00E757E7">
        <w:rPr>
          <w:rFonts w:ascii="Arial" w:hAnsi="Arial" w:cs="Arial"/>
          <w:color w:val="034EA3"/>
          <w:sz w:val="24"/>
          <w:szCs w:val="24"/>
        </w:rPr>
        <w:t xml:space="preserve">3. What </w:t>
      </w:r>
      <w:proofErr w:type="gramStart"/>
      <w:r w:rsidRPr="00E757E7">
        <w:rPr>
          <w:rFonts w:ascii="Arial" w:hAnsi="Arial" w:cs="Arial"/>
          <w:color w:val="034EA3"/>
          <w:sz w:val="24"/>
          <w:szCs w:val="24"/>
        </w:rPr>
        <w:t>Should</w:t>
      </w:r>
      <w:proofErr w:type="gramEnd"/>
      <w:r w:rsidRPr="00E757E7">
        <w:rPr>
          <w:rFonts w:ascii="Arial" w:hAnsi="Arial" w:cs="Arial"/>
          <w:color w:val="034EA3"/>
          <w:sz w:val="24"/>
          <w:szCs w:val="24"/>
        </w:rPr>
        <w:t xml:space="preserve"> be Included in the Table of Contents?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The following formatting is suggested: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eastAsia="ZapfDingbats" w:hAnsi="Arial" w:cs="Arial"/>
          <w:color w:val="034EA3"/>
          <w:sz w:val="24"/>
          <w:szCs w:val="24"/>
        </w:rPr>
        <w:t xml:space="preserve">■■ </w:t>
      </w:r>
      <w:r w:rsidRPr="00E757E7">
        <w:rPr>
          <w:rFonts w:ascii="Arial" w:hAnsi="Arial" w:cs="Arial"/>
          <w:color w:val="000000"/>
          <w:sz w:val="24"/>
          <w:szCs w:val="24"/>
        </w:rPr>
        <w:t>Try to use only three (maximum four) levels of headings in the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Table of Contents, per below: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I. Level 1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A. Level 2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1. Level 3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Using only two heading levels is not usually very helpful, while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four heading levels can sometimes be unwieldy. 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eastAsia="ZapfDingbats" w:hAnsi="Arial" w:cs="Arial"/>
          <w:color w:val="034EA3"/>
          <w:sz w:val="24"/>
          <w:szCs w:val="24"/>
        </w:rPr>
        <w:t xml:space="preserve">■■ </w:t>
      </w:r>
      <w:proofErr w:type="spellStart"/>
      <w:r w:rsidRPr="00E757E7">
        <w:rPr>
          <w:rFonts w:ascii="Arial" w:hAnsi="Arial" w:cs="Arial"/>
          <w:color w:val="000000"/>
          <w:sz w:val="24"/>
          <w:szCs w:val="24"/>
        </w:rPr>
        <w:t>T he</w:t>
      </w:r>
      <w:proofErr w:type="spellEnd"/>
      <w:r w:rsidRPr="00E757E7">
        <w:rPr>
          <w:rFonts w:ascii="Arial" w:hAnsi="Arial" w:cs="Arial"/>
          <w:color w:val="000000"/>
          <w:sz w:val="24"/>
          <w:szCs w:val="24"/>
        </w:rPr>
        <w:t xml:space="preserve"> formatting of the headings should mirror the actual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headings used in the Pleadings (that is, the Table of Contents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should contain the same headings as those that appear in the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Pleadings).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eastAsia="ZapfDingbats" w:hAnsi="Arial" w:cs="Arial"/>
          <w:color w:val="034EA3"/>
          <w:sz w:val="24"/>
          <w:szCs w:val="24"/>
        </w:rPr>
        <w:t xml:space="preserve">■■ </w:t>
      </w:r>
      <w:r w:rsidRPr="00E757E7">
        <w:rPr>
          <w:rFonts w:ascii="Arial" w:hAnsi="Arial" w:cs="Arial"/>
          <w:color w:val="000000"/>
          <w:sz w:val="24"/>
          <w:szCs w:val="24"/>
        </w:rPr>
        <w:t>No matter how many heading levels you include, you should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make sure that each level is clearly distinguished from the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others, using indenting and text formatting. You should be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able to manipulate the formatting using the automated Table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of Contents features in your word processing software.</w:t>
      </w:r>
    </w:p>
    <w:p w:rsidR="00364E5C" w:rsidRPr="00E757E7" w:rsidRDefault="00364E5C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  <w:r w:rsidRPr="00E757E7">
        <w:rPr>
          <w:rFonts w:ascii="Arial" w:hAnsi="Arial" w:cs="Arial"/>
          <w:b/>
          <w:bCs/>
          <w:color w:val="58595B"/>
          <w:sz w:val="24"/>
          <w:szCs w:val="24"/>
        </w:rPr>
        <w:t>D. Index of Authorities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4EA3"/>
          <w:sz w:val="24"/>
          <w:szCs w:val="24"/>
        </w:rPr>
      </w:pPr>
      <w:r w:rsidRPr="00E757E7">
        <w:rPr>
          <w:rFonts w:ascii="Arial" w:hAnsi="Arial" w:cs="Arial"/>
          <w:color w:val="034EA3"/>
          <w:sz w:val="24"/>
          <w:szCs w:val="24"/>
        </w:rPr>
        <w:t>1. Purpose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lastRenderedPageBreak/>
        <w:t xml:space="preserve">The Index of Authorities provides the location(s) in your </w:t>
      </w:r>
      <w:r w:rsidR="00E757E7">
        <w:rPr>
          <w:rFonts w:ascii="Arial" w:hAnsi="Arial" w:cs="Arial"/>
          <w:color w:val="000000"/>
          <w:sz w:val="24"/>
          <w:szCs w:val="24"/>
        </w:rPr>
        <w:t>brief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where a particular case, treaty or other authority is cited.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="00E757E7">
        <w:rPr>
          <w:rFonts w:ascii="Arial" w:hAnsi="Arial" w:cs="Arial"/>
          <w:color w:val="000000"/>
          <w:sz w:val="24"/>
          <w:szCs w:val="24"/>
        </w:rPr>
        <w:t>J</w:t>
      </w:r>
      <w:r w:rsidRPr="00E757E7">
        <w:rPr>
          <w:rFonts w:ascii="Arial" w:hAnsi="Arial" w:cs="Arial"/>
          <w:color w:val="000000"/>
          <w:sz w:val="24"/>
          <w:szCs w:val="24"/>
        </w:rPr>
        <w:t>udges use the Index of Authorities to obtain a quick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impression of whether you have cited all the key treaties, cases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and other sources of law which are relevant to the Jessup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757E7">
        <w:rPr>
          <w:rFonts w:ascii="Arial" w:hAnsi="Arial" w:cs="Arial"/>
          <w:color w:val="000000"/>
          <w:sz w:val="24"/>
          <w:szCs w:val="24"/>
        </w:rPr>
        <w:t>Compromis</w:t>
      </w:r>
      <w:proofErr w:type="spellEnd"/>
      <w:r w:rsidRPr="00E757E7">
        <w:rPr>
          <w:rFonts w:ascii="Arial" w:hAnsi="Arial" w:cs="Arial"/>
          <w:color w:val="000000"/>
          <w:sz w:val="24"/>
          <w:szCs w:val="24"/>
        </w:rPr>
        <w:t>. They will also use the Index of Authorities to get an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idea of the depth and breadth of your research—for instance, if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you have cited too many domestic cases, or too many obscure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journal articles, or done too little research because you cite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only a few international cases. Judges can be immediately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influenced—positively or negatively—by a quick perusal of the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Index of Authorities.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4EA3"/>
          <w:sz w:val="24"/>
          <w:szCs w:val="24"/>
        </w:rPr>
      </w:pPr>
      <w:r w:rsidRPr="00E757E7">
        <w:rPr>
          <w:rFonts w:ascii="Arial" w:hAnsi="Arial" w:cs="Arial"/>
          <w:color w:val="034EA3"/>
          <w:sz w:val="24"/>
          <w:szCs w:val="24"/>
        </w:rPr>
        <w:t xml:space="preserve">2. What </w:t>
      </w:r>
      <w:proofErr w:type="gramStart"/>
      <w:r w:rsidRPr="00E757E7">
        <w:rPr>
          <w:rFonts w:ascii="Arial" w:hAnsi="Arial" w:cs="Arial"/>
          <w:color w:val="034EA3"/>
          <w:sz w:val="24"/>
          <w:szCs w:val="24"/>
        </w:rPr>
        <w:t>Should</w:t>
      </w:r>
      <w:proofErr w:type="gramEnd"/>
      <w:r w:rsidRPr="00E757E7">
        <w:rPr>
          <w:rFonts w:ascii="Arial" w:hAnsi="Arial" w:cs="Arial"/>
          <w:color w:val="034EA3"/>
          <w:sz w:val="24"/>
          <w:szCs w:val="24"/>
        </w:rPr>
        <w:t xml:space="preserve"> be Included in the Index of Authorities?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Over many years, most Jessup teams have adopted a common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approach to the Index of Authorities: sources of law are divided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into major groupings, and within the groupings the sources of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law are listed in alphabetical order (</w:t>
      </w:r>
      <w:r w:rsidRPr="00E757E7">
        <w:rPr>
          <w:rFonts w:ascii="Arial" w:hAnsi="Arial" w:cs="Arial"/>
          <w:i/>
          <w:iCs/>
          <w:color w:val="000000"/>
          <w:sz w:val="24"/>
          <w:szCs w:val="24"/>
        </w:rPr>
        <w:t xml:space="preserve">see </w:t>
      </w:r>
      <w:r w:rsidRPr="00E757E7">
        <w:rPr>
          <w:rFonts w:ascii="Arial" w:hAnsi="Arial" w:cs="Arial"/>
          <w:color w:val="000000"/>
          <w:sz w:val="24"/>
          <w:szCs w:val="24"/>
        </w:rPr>
        <w:t>Appendix B for a sample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Index of Authorities). Beyond this, teams differ in how they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group their sources of law, and the order in which they are listed.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The following groupings are suggested: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(i) Treaties and Conventions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(ii) United Nations Resolutions and other documents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(iii) International cases and arbitral decisions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757E7">
        <w:rPr>
          <w:rFonts w:ascii="Arial" w:hAnsi="Arial" w:cs="Arial"/>
          <w:color w:val="000000"/>
          <w:sz w:val="24"/>
          <w:szCs w:val="24"/>
        </w:rPr>
        <w:t>(iv) Municipal</w:t>
      </w:r>
      <w:proofErr w:type="gramEnd"/>
      <w:r w:rsidRPr="00E757E7">
        <w:rPr>
          <w:rFonts w:ascii="Arial" w:hAnsi="Arial" w:cs="Arial"/>
          <w:color w:val="000000"/>
          <w:sz w:val="24"/>
          <w:szCs w:val="24"/>
        </w:rPr>
        <w:t xml:space="preserve"> cases and laws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(v) Treatises and other books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757E7">
        <w:rPr>
          <w:rFonts w:ascii="Arial" w:hAnsi="Arial" w:cs="Arial"/>
          <w:color w:val="000000"/>
          <w:sz w:val="24"/>
          <w:szCs w:val="24"/>
        </w:rPr>
        <w:t>(vi) Journal</w:t>
      </w:r>
      <w:proofErr w:type="gramEnd"/>
      <w:r w:rsidRPr="00E757E7">
        <w:rPr>
          <w:rFonts w:ascii="Arial" w:hAnsi="Arial" w:cs="Arial"/>
          <w:color w:val="000000"/>
          <w:sz w:val="24"/>
          <w:szCs w:val="24"/>
        </w:rPr>
        <w:t xml:space="preserve"> articles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This is the recommended order because it roughly mirrors the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hierarchy of the sources of law to which the ICJ is permitted to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have access to when deciding cases, pursuant to Article 38(1)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of the Statute of the ICJ.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Jessup teams often use their own labels for these sources of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law, sometimes use a slightly different order and sometimes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break down these groupings into further sublevels (for instance,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international cases and arbitral decisions may be subdivided into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Permanent Court of International Justice cases, ICJ cases, other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international cases and arbitral cases). This can become unwieldy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and may make it more difficult to quickly locate a particular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authority. Whatever labels for these groupings that you choose,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they must be accurate.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  <w:r w:rsidRPr="00E757E7">
        <w:rPr>
          <w:rFonts w:ascii="Arial" w:hAnsi="Arial" w:cs="Arial"/>
          <w:b/>
          <w:bCs/>
          <w:color w:val="58595B"/>
          <w:sz w:val="24"/>
          <w:szCs w:val="24"/>
        </w:rPr>
        <w:t>E. Statement of Jurisdiction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4EA3"/>
          <w:sz w:val="24"/>
          <w:szCs w:val="24"/>
        </w:rPr>
      </w:pPr>
      <w:r w:rsidRPr="00E757E7">
        <w:rPr>
          <w:rFonts w:ascii="Arial" w:hAnsi="Arial" w:cs="Arial"/>
          <w:color w:val="034EA3"/>
          <w:sz w:val="24"/>
          <w:szCs w:val="24"/>
        </w:rPr>
        <w:t>1. The Usual Position Regarding Jurisdiction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There are various ways in which you can draft the Statement of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Jurisdiction when there is no dispute as to the Court’s jurisdiction.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757E7">
        <w:rPr>
          <w:rFonts w:ascii="Arial" w:hAnsi="Arial" w:cs="Arial"/>
          <w:color w:val="000000"/>
          <w:sz w:val="24"/>
          <w:szCs w:val="24"/>
        </w:rPr>
        <w:t>Some examples include: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 xml:space="preserve">“The Republic of </w:t>
      </w:r>
      <w:proofErr w:type="spellStart"/>
      <w:r w:rsidRPr="00E757E7">
        <w:rPr>
          <w:rFonts w:ascii="Arial" w:hAnsi="Arial" w:cs="Arial"/>
          <w:color w:val="000000"/>
          <w:sz w:val="24"/>
          <w:szCs w:val="24"/>
        </w:rPr>
        <w:t>Appollonia</w:t>
      </w:r>
      <w:proofErr w:type="spellEnd"/>
      <w:r w:rsidRPr="00E757E7">
        <w:rPr>
          <w:rFonts w:ascii="Arial" w:hAnsi="Arial" w:cs="Arial"/>
          <w:color w:val="000000"/>
          <w:sz w:val="24"/>
          <w:szCs w:val="24"/>
        </w:rPr>
        <w:t xml:space="preserve"> and the Kingdom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of Raglan submit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the present dispute to this Court by Special Agreement, dated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May 15, 2004, pursuant to Article 40(1) of the Court’s Statute.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The parties have agreed to the contents of the </w:t>
      </w:r>
      <w:proofErr w:type="spellStart"/>
      <w:r w:rsidRPr="00E757E7">
        <w:rPr>
          <w:rFonts w:ascii="Arial" w:hAnsi="Arial" w:cs="Arial"/>
          <w:color w:val="000000"/>
          <w:sz w:val="24"/>
          <w:szCs w:val="24"/>
        </w:rPr>
        <w:t>Compromis</w:t>
      </w:r>
      <w:proofErr w:type="spellEnd"/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submitted as part of the Special Agreement. In accordance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with Article 36(1) of the Court’s Statute, each party shall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accept the judgment of this Court as final and binding and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shall execute it in good faith in its entirety.”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 xml:space="preserve">“The Republic of </w:t>
      </w:r>
      <w:proofErr w:type="spellStart"/>
      <w:r w:rsidRPr="00E757E7">
        <w:rPr>
          <w:rFonts w:ascii="Arial" w:hAnsi="Arial" w:cs="Arial"/>
          <w:color w:val="000000"/>
          <w:sz w:val="24"/>
          <w:szCs w:val="24"/>
        </w:rPr>
        <w:t>Appollonia</w:t>
      </w:r>
      <w:proofErr w:type="spellEnd"/>
      <w:r w:rsidRPr="00E757E7">
        <w:rPr>
          <w:rFonts w:ascii="Arial" w:hAnsi="Arial" w:cs="Arial"/>
          <w:color w:val="000000"/>
          <w:sz w:val="24"/>
          <w:szCs w:val="24"/>
        </w:rPr>
        <w:t xml:space="preserve"> (Applicant) and the Kingdom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of Raglan (Respondent) have agreed ad hoc to submit the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757E7">
        <w:rPr>
          <w:rFonts w:ascii="Arial" w:hAnsi="Arial" w:cs="Arial"/>
          <w:color w:val="000000"/>
          <w:sz w:val="24"/>
          <w:szCs w:val="24"/>
        </w:rPr>
        <w:lastRenderedPageBreak/>
        <w:t>present</w:t>
      </w:r>
      <w:proofErr w:type="gramEnd"/>
      <w:r w:rsidRPr="00E757E7">
        <w:rPr>
          <w:rFonts w:ascii="Arial" w:hAnsi="Arial" w:cs="Arial"/>
          <w:color w:val="000000"/>
          <w:sz w:val="24"/>
          <w:szCs w:val="24"/>
        </w:rPr>
        <w:t xml:space="preserve"> dispute concerning the ‘Vessel </w:t>
      </w:r>
      <w:r w:rsidRPr="00E757E7">
        <w:rPr>
          <w:rFonts w:ascii="Arial" w:hAnsi="Arial" w:cs="Arial"/>
          <w:i/>
          <w:iCs/>
          <w:color w:val="000000"/>
          <w:sz w:val="24"/>
          <w:szCs w:val="24"/>
        </w:rPr>
        <w:t xml:space="preserve">The </w:t>
      </w:r>
      <w:proofErr w:type="spellStart"/>
      <w:r w:rsidRPr="00E757E7">
        <w:rPr>
          <w:rFonts w:ascii="Arial" w:hAnsi="Arial" w:cs="Arial"/>
          <w:i/>
          <w:iCs/>
          <w:color w:val="000000"/>
          <w:sz w:val="24"/>
          <w:szCs w:val="24"/>
        </w:rPr>
        <w:t>Mairi</w:t>
      </w:r>
      <w:proofErr w:type="spellEnd"/>
      <w:r w:rsidRPr="00E757E7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E757E7">
        <w:rPr>
          <w:rFonts w:ascii="Arial" w:hAnsi="Arial" w:cs="Arial"/>
          <w:i/>
          <w:iCs/>
          <w:color w:val="000000"/>
          <w:sz w:val="24"/>
          <w:szCs w:val="24"/>
        </w:rPr>
        <w:t>Maru</w:t>
      </w:r>
      <w:proofErr w:type="spellEnd"/>
      <w:r w:rsidRPr="00E757E7">
        <w:rPr>
          <w:rFonts w:ascii="Arial" w:hAnsi="Arial" w:cs="Arial"/>
          <w:i/>
          <w:iCs/>
          <w:color w:val="000000"/>
          <w:sz w:val="24"/>
          <w:szCs w:val="24"/>
        </w:rPr>
        <w:t xml:space="preserve">’ </w:t>
      </w:r>
      <w:r w:rsidRPr="00E757E7">
        <w:rPr>
          <w:rFonts w:ascii="Arial" w:hAnsi="Arial" w:cs="Arial"/>
          <w:color w:val="000000"/>
          <w:sz w:val="24"/>
          <w:szCs w:val="24"/>
        </w:rPr>
        <w:t>to the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International Court of Justice, pursuant to Article 40, paragraph 1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of the Statute of this Court and by virtue of a Special Agreement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E757E7">
        <w:rPr>
          <w:rFonts w:ascii="Arial" w:hAnsi="Arial" w:cs="Arial"/>
          <w:i/>
          <w:iCs/>
          <w:color w:val="000000"/>
          <w:sz w:val="24"/>
          <w:szCs w:val="24"/>
        </w:rPr>
        <w:t>Compromis</w:t>
      </w:r>
      <w:proofErr w:type="spellEnd"/>
      <w:r w:rsidRPr="00E757E7">
        <w:rPr>
          <w:rFonts w:ascii="Arial" w:hAnsi="Arial" w:cs="Arial"/>
          <w:color w:val="000000"/>
          <w:sz w:val="24"/>
          <w:szCs w:val="24"/>
        </w:rPr>
        <w:t>) signed in Washington, DC on May 15, 2004, and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jointly notified to the Court on June 1 of the same year. Both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parties have expressly agreed that no other State is a necessary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party for the resolution of any of the issues that are the subject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of the </w:t>
      </w:r>
      <w:proofErr w:type="spellStart"/>
      <w:r w:rsidRPr="00E757E7">
        <w:rPr>
          <w:rFonts w:ascii="Arial" w:hAnsi="Arial" w:cs="Arial"/>
          <w:i/>
          <w:iCs/>
          <w:color w:val="000000"/>
          <w:sz w:val="24"/>
          <w:szCs w:val="24"/>
        </w:rPr>
        <w:t>Compromis</w:t>
      </w:r>
      <w:proofErr w:type="spellEnd"/>
      <w:r w:rsidRPr="00E757E7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Pr="00E757E7">
        <w:rPr>
          <w:rFonts w:ascii="Arial" w:hAnsi="Arial" w:cs="Arial"/>
          <w:color w:val="000000"/>
          <w:sz w:val="24"/>
          <w:szCs w:val="24"/>
        </w:rPr>
        <w:t>”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  <w:r w:rsidRPr="00E757E7">
        <w:rPr>
          <w:rFonts w:ascii="Arial" w:hAnsi="Arial" w:cs="Arial"/>
          <w:b/>
          <w:bCs/>
          <w:color w:val="58595B"/>
          <w:sz w:val="24"/>
          <w:szCs w:val="24"/>
        </w:rPr>
        <w:t>F. Questions Presented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Teams generally take one of three approaches when drafting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the Questions Presented: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eastAsia="ZapfDingbats" w:hAnsi="Arial" w:cs="Arial"/>
          <w:color w:val="034EA3"/>
          <w:sz w:val="24"/>
          <w:szCs w:val="24"/>
        </w:rPr>
        <w:t xml:space="preserve">■■ </w:t>
      </w:r>
      <w:proofErr w:type="gramStart"/>
      <w:r w:rsidRPr="00E757E7">
        <w:rPr>
          <w:rFonts w:ascii="Arial" w:hAnsi="Arial" w:cs="Arial"/>
          <w:color w:val="000000"/>
          <w:sz w:val="24"/>
          <w:szCs w:val="24"/>
        </w:rPr>
        <w:t>Repeating</w:t>
      </w:r>
      <w:proofErr w:type="gramEnd"/>
      <w:r w:rsidRPr="00E757E7">
        <w:rPr>
          <w:rFonts w:ascii="Arial" w:hAnsi="Arial" w:cs="Arial"/>
          <w:color w:val="000000"/>
          <w:sz w:val="24"/>
          <w:szCs w:val="24"/>
        </w:rPr>
        <w:t xml:space="preserve"> the relief claimed by the relevant party in the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757E7">
        <w:rPr>
          <w:rFonts w:ascii="Arial" w:hAnsi="Arial" w:cs="Arial"/>
          <w:color w:val="000000"/>
          <w:sz w:val="24"/>
          <w:szCs w:val="24"/>
        </w:rPr>
        <w:t>Compromis</w:t>
      </w:r>
      <w:proofErr w:type="spellEnd"/>
      <w:r w:rsidRPr="00E757E7">
        <w:rPr>
          <w:rFonts w:ascii="Arial" w:hAnsi="Arial" w:cs="Arial"/>
          <w:color w:val="000000"/>
          <w:sz w:val="24"/>
          <w:szCs w:val="24"/>
        </w:rPr>
        <w:t>, but rewording the relief into questions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eastAsia="ZapfDingbats" w:hAnsi="Arial" w:cs="Arial"/>
          <w:color w:val="034EA3"/>
          <w:sz w:val="24"/>
          <w:szCs w:val="24"/>
        </w:rPr>
        <w:t xml:space="preserve">■■ </w:t>
      </w:r>
      <w:proofErr w:type="gramStart"/>
      <w:r w:rsidRPr="00E757E7">
        <w:rPr>
          <w:rFonts w:ascii="Arial" w:hAnsi="Arial" w:cs="Arial"/>
          <w:color w:val="000000"/>
          <w:sz w:val="24"/>
          <w:szCs w:val="24"/>
        </w:rPr>
        <w:t>Identifying</w:t>
      </w:r>
      <w:proofErr w:type="gramEnd"/>
      <w:r w:rsidRPr="00E757E7">
        <w:rPr>
          <w:rFonts w:ascii="Arial" w:hAnsi="Arial" w:cs="Arial"/>
          <w:color w:val="000000"/>
          <w:sz w:val="24"/>
          <w:szCs w:val="24"/>
        </w:rPr>
        <w:t xml:space="preserve"> the one or two key issues arising from each item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of relief sought by the relevant party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eastAsia="ZapfDingbats" w:hAnsi="Arial" w:cs="Arial"/>
          <w:color w:val="034EA3"/>
          <w:sz w:val="24"/>
          <w:szCs w:val="24"/>
        </w:rPr>
        <w:t xml:space="preserve">■■ </w:t>
      </w:r>
      <w:proofErr w:type="gramStart"/>
      <w:r w:rsidRPr="00E757E7">
        <w:rPr>
          <w:rFonts w:ascii="Arial" w:hAnsi="Arial" w:cs="Arial"/>
          <w:color w:val="000000"/>
          <w:sz w:val="24"/>
          <w:szCs w:val="24"/>
        </w:rPr>
        <w:t>Breaking</w:t>
      </w:r>
      <w:proofErr w:type="gramEnd"/>
      <w:r w:rsidRPr="00E757E7">
        <w:rPr>
          <w:rFonts w:ascii="Arial" w:hAnsi="Arial" w:cs="Arial"/>
          <w:color w:val="000000"/>
          <w:sz w:val="24"/>
          <w:szCs w:val="24"/>
        </w:rPr>
        <w:t xml:space="preserve"> down the relief sought by each relevant party into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 large number of questions which reflect the many issues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and sub-issues raised by the Jessup Problem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Your team should consider carefully whether it is sufficient to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include only questions which mirror the items of relief, or whether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there are more issues involved. There will generally be more than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four key issues raised by the Jessup Problem, even though most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Jessup Problems are divided into four main topics.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On the other hand, the Questions Presented usually should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not include more than eight questions. Each item of relief will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generally raise one or two key issues. There is seldom justification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for including more questions, and including more than eight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questions may indicate that you have not thought carefully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about the key issues and how they are interrelated.</w:t>
      </w:r>
    </w:p>
    <w:p w:rsidR="00364E5C" w:rsidRPr="00E757E7" w:rsidRDefault="00364E5C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  <w:r w:rsidRPr="00E757E7">
        <w:rPr>
          <w:rFonts w:ascii="Arial" w:hAnsi="Arial" w:cs="Arial"/>
          <w:b/>
          <w:bCs/>
          <w:color w:val="58595B"/>
          <w:sz w:val="24"/>
          <w:szCs w:val="24"/>
        </w:rPr>
        <w:t>G. Statement of Facts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 xml:space="preserve">Remember that the Statement of Facts is part of your </w:t>
      </w:r>
      <w:r w:rsidR="00E757E7">
        <w:rPr>
          <w:rFonts w:ascii="Arial" w:hAnsi="Arial" w:cs="Arial"/>
          <w:color w:val="000000"/>
          <w:sz w:val="24"/>
          <w:szCs w:val="24"/>
        </w:rPr>
        <w:t>brief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and, therefore, should aim to </w:t>
      </w:r>
      <w:r w:rsidRPr="00E757E7">
        <w:rPr>
          <w:rFonts w:ascii="Arial" w:hAnsi="Arial" w:cs="Arial"/>
          <w:i/>
          <w:iCs/>
          <w:color w:val="000000"/>
          <w:sz w:val="24"/>
          <w:szCs w:val="24"/>
        </w:rPr>
        <w:t xml:space="preserve">persuade </w:t>
      </w:r>
      <w:r w:rsidRPr="00E757E7">
        <w:rPr>
          <w:rFonts w:ascii="Arial" w:hAnsi="Arial" w:cs="Arial"/>
          <w:color w:val="000000"/>
          <w:sz w:val="24"/>
          <w:szCs w:val="24"/>
        </w:rPr>
        <w:t>the Court of your case.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It is very tempting for Jessup teams when preparing the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Statement of Facts to do little more than copy and paste most or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all of the facts from the </w:t>
      </w:r>
      <w:proofErr w:type="spellStart"/>
      <w:r w:rsidRPr="00E757E7">
        <w:rPr>
          <w:rFonts w:ascii="Arial" w:hAnsi="Arial" w:cs="Arial"/>
          <w:color w:val="000000"/>
          <w:sz w:val="24"/>
          <w:szCs w:val="24"/>
        </w:rPr>
        <w:t>Compromis</w:t>
      </w:r>
      <w:proofErr w:type="spellEnd"/>
      <w:r w:rsidRPr="00E757E7">
        <w:rPr>
          <w:rFonts w:ascii="Arial" w:hAnsi="Arial" w:cs="Arial"/>
          <w:color w:val="000000"/>
          <w:sz w:val="24"/>
          <w:szCs w:val="24"/>
        </w:rPr>
        <w:t>, only slightly restructuring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those facts. Resist this temptation: a well-drafted Statement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of Facts usually distinguishes the very best teams from the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average teams.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A good Statement of Facts will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demonstrate that the team has thought about which facts are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relevant and how to present those facts to maximum advantage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in light of the issues raised by the Jessup Problem, even in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spite of the deliberate gaps and ambiguities included in the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757E7">
        <w:rPr>
          <w:rFonts w:ascii="Arial" w:hAnsi="Arial" w:cs="Arial"/>
          <w:color w:val="000000"/>
          <w:sz w:val="24"/>
          <w:szCs w:val="24"/>
        </w:rPr>
        <w:t>Compromis</w:t>
      </w:r>
      <w:proofErr w:type="spellEnd"/>
      <w:r w:rsidRPr="00E757E7">
        <w:rPr>
          <w:rFonts w:ascii="Arial" w:hAnsi="Arial" w:cs="Arial"/>
          <w:color w:val="000000"/>
          <w:sz w:val="24"/>
          <w:szCs w:val="24"/>
        </w:rPr>
        <w:t xml:space="preserve"> (you should have considered these matters in the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process of analyzing the </w:t>
      </w:r>
      <w:proofErr w:type="spellStart"/>
      <w:r w:rsidRPr="00E757E7">
        <w:rPr>
          <w:rFonts w:ascii="Arial" w:hAnsi="Arial" w:cs="Arial"/>
          <w:color w:val="000000"/>
          <w:sz w:val="24"/>
          <w:szCs w:val="24"/>
        </w:rPr>
        <w:t>Com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>promis</w:t>
      </w:r>
      <w:proofErr w:type="spellEnd"/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). Unfavorable facts must </w:t>
      </w:r>
      <w:r w:rsidRPr="00E757E7">
        <w:rPr>
          <w:rFonts w:ascii="Arial" w:hAnsi="Arial" w:cs="Arial"/>
          <w:color w:val="000000"/>
          <w:sz w:val="24"/>
          <w:szCs w:val="24"/>
        </w:rPr>
        <w:t>not be ignored, but they should be presented in such a way as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to draw the reader’s attention to more favorable facts. This takes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practice and cannot be effectively accomplished at the last minute.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t>Some teams will find it easier to draft the Statement of Facts once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significant progress has been made drafting the Pleadings. Once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you have considered the stated facts, the necessary inferences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and how these should be used in the Pleadings, you will be in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a much better position to draft the Statement of Facts without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 xml:space="preserve">merely copying and pasting from the </w:t>
      </w:r>
      <w:proofErr w:type="spellStart"/>
      <w:r w:rsidRPr="00E757E7">
        <w:rPr>
          <w:rFonts w:ascii="Arial" w:hAnsi="Arial" w:cs="Arial"/>
          <w:color w:val="000000"/>
          <w:sz w:val="24"/>
          <w:szCs w:val="24"/>
        </w:rPr>
        <w:t>Compromis</w:t>
      </w:r>
      <w:proofErr w:type="spellEnd"/>
      <w:r w:rsidRPr="00E757E7">
        <w:rPr>
          <w:rFonts w:ascii="Arial" w:hAnsi="Arial" w:cs="Arial"/>
          <w:color w:val="000000"/>
          <w:sz w:val="24"/>
          <w:szCs w:val="24"/>
        </w:rPr>
        <w:t>.</w:t>
      </w:r>
    </w:p>
    <w:p w:rsidR="00364E5C" w:rsidRPr="00E757E7" w:rsidRDefault="00364E5C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58595B"/>
          <w:sz w:val="24"/>
          <w:szCs w:val="24"/>
        </w:rPr>
      </w:pPr>
      <w:r w:rsidRPr="00E757E7">
        <w:rPr>
          <w:rFonts w:ascii="Arial" w:hAnsi="Arial" w:cs="Arial"/>
          <w:b/>
          <w:bCs/>
          <w:color w:val="58595B"/>
          <w:sz w:val="24"/>
          <w:szCs w:val="24"/>
        </w:rPr>
        <w:t>H. Summary of Pleadings</w:t>
      </w:r>
    </w:p>
    <w:p w:rsidR="00250A14" w:rsidRPr="00E757E7" w:rsidRDefault="00250A14" w:rsidP="00250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757E7">
        <w:rPr>
          <w:rFonts w:ascii="Arial" w:hAnsi="Arial" w:cs="Arial"/>
          <w:color w:val="000000"/>
          <w:sz w:val="24"/>
          <w:szCs w:val="24"/>
        </w:rPr>
        <w:lastRenderedPageBreak/>
        <w:t>The Summary of Pleadings must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be more than a mere reproduction of the section headings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contained in the Pleadings. The goal of the Summary of Pleadings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is to distill the essence of the arguments in relation to each major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r w:rsidRPr="00E757E7">
        <w:rPr>
          <w:rFonts w:ascii="Arial" w:hAnsi="Arial" w:cs="Arial"/>
          <w:color w:val="000000"/>
          <w:sz w:val="24"/>
          <w:szCs w:val="24"/>
        </w:rPr>
        <w:t>pleading. This requires careful consideration and drafting.</w:t>
      </w:r>
      <w:r w:rsidR="00364E5C" w:rsidRPr="00E757E7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250A14" w:rsidRPr="00E75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14"/>
    <w:rsid w:val="00250A14"/>
    <w:rsid w:val="00364E5C"/>
    <w:rsid w:val="008C1543"/>
    <w:rsid w:val="00E7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infotech</dc:creator>
  <cp:lastModifiedBy>infotech</cp:lastModifiedBy>
  <cp:revision>2</cp:revision>
  <dcterms:created xsi:type="dcterms:W3CDTF">2014-02-19T17:34:00Z</dcterms:created>
  <dcterms:modified xsi:type="dcterms:W3CDTF">2014-02-19T17:52:00Z</dcterms:modified>
</cp:coreProperties>
</file>